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A8A9" w14:textId="77777777" w:rsidR="00046D5F" w:rsidRPr="00526534" w:rsidRDefault="00526534">
      <w:pPr>
        <w:pStyle w:val="Tekstpodstawowy"/>
        <w:ind w:left="151" w:firstLine="0"/>
        <w:rPr>
          <w:rFonts w:ascii="Times New Roman"/>
          <w:sz w:val="20"/>
          <w:lang w:val="pl-PL"/>
        </w:rPr>
      </w:pPr>
      <w:r w:rsidRPr="00526534">
        <w:rPr>
          <w:rFonts w:ascii="Times New Roman"/>
          <w:noProof/>
          <w:sz w:val="20"/>
          <w:lang w:val="pl-PL"/>
        </w:rPr>
        <w:drawing>
          <wp:inline distT="0" distB="0" distL="0" distR="0" wp14:anchorId="53874334" wp14:editId="072A0CE4">
            <wp:extent cx="6926216" cy="644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216" cy="64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08BA" w14:textId="77777777" w:rsidR="00046D5F" w:rsidRPr="00526534" w:rsidRDefault="00526534">
      <w:pPr>
        <w:pStyle w:val="Tekstpodstawowy"/>
        <w:spacing w:before="99"/>
        <w:ind w:left="1161" w:firstLine="0"/>
        <w:rPr>
          <w:lang w:val="pl-PL"/>
        </w:rPr>
      </w:pPr>
      <w:r w:rsidRPr="00526534">
        <w:rPr>
          <w:lang w:val="pl-PL"/>
        </w:rPr>
        <w:t>Załącznik nr 10 do umowy: Klauzula informacyjna Instytucji Pośredniczącej dla osób,</w:t>
      </w:r>
    </w:p>
    <w:p w14:paraId="31AC9D4A" w14:textId="77777777" w:rsidR="00046D5F" w:rsidRPr="00526534" w:rsidRDefault="00526534">
      <w:pPr>
        <w:pStyle w:val="Tekstpodstawowy"/>
        <w:ind w:left="4965" w:firstLine="0"/>
        <w:rPr>
          <w:lang w:val="pl-PL"/>
        </w:rPr>
      </w:pPr>
      <w:r w:rsidRPr="00526534">
        <w:rPr>
          <w:lang w:val="pl-PL"/>
        </w:rPr>
        <w:t>których dane są pozyskiwane w sposób pośredni</w:t>
      </w:r>
    </w:p>
    <w:p w14:paraId="461AF1EE" w14:textId="77777777" w:rsidR="00046D5F" w:rsidRPr="00526534" w:rsidRDefault="00046D5F">
      <w:pPr>
        <w:pStyle w:val="Tekstpodstawowy"/>
        <w:ind w:left="0" w:firstLine="0"/>
        <w:rPr>
          <w:lang w:val="pl-PL"/>
        </w:rPr>
      </w:pPr>
    </w:p>
    <w:p w14:paraId="12C00D55" w14:textId="77777777" w:rsidR="00046D5F" w:rsidRPr="00526534" w:rsidRDefault="00526534">
      <w:pPr>
        <w:ind w:left="1250" w:right="1455" w:firstLine="5"/>
        <w:jc w:val="center"/>
        <w:rPr>
          <w:b/>
          <w:sz w:val="24"/>
          <w:lang w:val="pl-PL"/>
        </w:rPr>
      </w:pPr>
      <w:r w:rsidRPr="00526534">
        <w:rPr>
          <w:b/>
          <w:sz w:val="24"/>
          <w:lang w:val="pl-PL"/>
        </w:rPr>
        <w:t>Klauzula informacyjna Wojewódzkiego Urzędu Pracy w Zielonej Górze (Instytucji Pośredniczącej) dla osób, których dane są pozyskiwane w sposób pośredni w ramach Działania 6.1 Programu Fundusze Europejskie dla Lubuskiego 2021-2027 (FEWL 2021-2027)</w:t>
      </w:r>
    </w:p>
    <w:p w14:paraId="6CCC2F7F" w14:textId="77777777" w:rsidR="00046D5F" w:rsidRPr="00526534" w:rsidRDefault="00046D5F">
      <w:pPr>
        <w:pStyle w:val="Tekstpodstawowy"/>
        <w:ind w:left="0" w:firstLine="0"/>
        <w:rPr>
          <w:b/>
          <w:lang w:val="pl-PL"/>
        </w:rPr>
      </w:pPr>
    </w:p>
    <w:p w14:paraId="70470F20" w14:textId="77777777" w:rsidR="00046D5F" w:rsidRPr="00526534" w:rsidRDefault="00526534">
      <w:pPr>
        <w:pStyle w:val="Tekstpodstawowy"/>
        <w:ind w:left="1096" w:right="1749" w:firstLine="0"/>
        <w:rPr>
          <w:lang w:val="pl-PL"/>
        </w:rPr>
      </w:pPr>
      <w:r w:rsidRPr="00526534">
        <w:rPr>
          <w:lang w:val="pl-PL"/>
        </w:rPr>
        <w:t>Na podstawie art. 14 ust. 1 i 2 Rozporządzenia Parlamentu Europejskiego i Rady (UE) 2016/679 z dnia 27 kwietnia 2016 r. w sprawie ochrony osób fizycznych</w:t>
      </w:r>
    </w:p>
    <w:p w14:paraId="711C1F5B" w14:textId="77777777" w:rsidR="00046D5F" w:rsidRPr="00526534" w:rsidRDefault="00526534">
      <w:pPr>
        <w:pStyle w:val="Tekstpodstawowy"/>
        <w:ind w:left="1096" w:right="1310" w:firstLine="0"/>
        <w:rPr>
          <w:lang w:val="pl-PL"/>
        </w:rPr>
      </w:pPr>
      <w:r w:rsidRPr="00526534">
        <w:rPr>
          <w:lang w:val="pl-PL"/>
        </w:rPr>
        <w:t>w związku z przetwarzaniem danych osobowych i w sprawie swobodnego przepływu takich danych oraz uchylenia dyrektywy 95/46/WE (ogólne rozporządzenie</w:t>
      </w:r>
    </w:p>
    <w:p w14:paraId="5EEBD314" w14:textId="77777777" w:rsidR="00046D5F" w:rsidRPr="00526534" w:rsidRDefault="00526534">
      <w:pPr>
        <w:pStyle w:val="Tekstpodstawowy"/>
        <w:ind w:left="1096" w:right="1924" w:firstLine="0"/>
        <w:rPr>
          <w:lang w:val="pl-PL"/>
        </w:rPr>
      </w:pPr>
      <w:r w:rsidRPr="00526534">
        <w:rPr>
          <w:lang w:val="pl-PL"/>
        </w:rPr>
        <w:t xml:space="preserve">o ochronie danych) – RODO (z </w:t>
      </w:r>
      <w:proofErr w:type="spellStart"/>
      <w:r w:rsidRPr="00526534">
        <w:rPr>
          <w:lang w:val="pl-PL"/>
        </w:rPr>
        <w:t>późn</w:t>
      </w:r>
      <w:proofErr w:type="spellEnd"/>
      <w:r w:rsidRPr="00526534">
        <w:rPr>
          <w:lang w:val="pl-PL"/>
        </w:rPr>
        <w:t>. zm.), Wojewódzki Urząd Pracy w Zielonej Górze informuje, że:</w:t>
      </w:r>
    </w:p>
    <w:p w14:paraId="180D8B32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1817"/>
        </w:tabs>
        <w:ind w:right="1410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Administratorem danych osobowych pozyskiwanych w związku z</w:t>
      </w:r>
      <w:r w:rsidRPr="00526534">
        <w:rPr>
          <w:spacing w:val="-28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wdrażaniem i rozliczaniem Działania 6.1 Programu Fundusze Europejskie dla Lubuskiego 2021-2027 jest Wojewódzki Urząd Pracy w Zielonej Górze z siedzibą w Zielonej Górze przy ul. Wyspiańskiego 15, 65-036 Zielona Góra, tel. /68/ 456 56 10, e-mail:</w:t>
      </w:r>
      <w:r w:rsidRPr="00526534">
        <w:rPr>
          <w:spacing w:val="-11"/>
          <w:sz w:val="24"/>
          <w:lang w:val="pl-PL"/>
        </w:rPr>
        <w:t xml:space="preserve"> </w:t>
      </w:r>
      <w:hyperlink r:id="rId7">
        <w:r w:rsidRPr="00526534">
          <w:rPr>
            <w:color w:val="0462C1"/>
            <w:sz w:val="24"/>
            <w:u w:val="single" w:color="0462C1"/>
            <w:lang w:val="pl-PL"/>
          </w:rPr>
          <w:t>wup@wup.zgora.pl</w:t>
        </w:r>
      </w:hyperlink>
      <w:r w:rsidRPr="00526534">
        <w:rPr>
          <w:sz w:val="24"/>
          <w:lang w:val="pl-PL"/>
        </w:rPr>
        <w:t>.</w:t>
      </w:r>
    </w:p>
    <w:p w14:paraId="5AA1CA57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1817"/>
        </w:tabs>
        <w:ind w:right="1532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 xml:space="preserve">Wojewódzki Urząd Pracy w Zielonej Górze wyznaczył Inspektora ochrony danych, z którym można się skontaktować poprzez email: </w:t>
      </w:r>
      <w:hyperlink r:id="rId8">
        <w:r w:rsidRPr="00526534">
          <w:rPr>
            <w:sz w:val="24"/>
            <w:u w:val="single"/>
            <w:lang w:val="pl-PL"/>
          </w:rPr>
          <w:t xml:space="preserve">iod@wup.zgora.pl </w:t>
        </w:r>
      </w:hyperlink>
      <w:r w:rsidRPr="00526534">
        <w:rPr>
          <w:sz w:val="24"/>
          <w:lang w:val="pl-PL"/>
        </w:rPr>
        <w:t>lub pisemnie na adres: Wojewódzki Urząd Pracy w Zielonej Górze, ul. Wyspiańskiego 15, 65-036 Zielona Góra. Z Inspektorem ochrony danych można się kontaktować we wszystkich sprawach dotyczących</w:t>
      </w:r>
      <w:r w:rsidRPr="00526534">
        <w:rPr>
          <w:spacing w:val="-27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przetwarzania danych osobowych oraz korzystania z praw związanych z przetwarzaniem danych.</w:t>
      </w:r>
    </w:p>
    <w:p w14:paraId="0BDC48E5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1817"/>
        </w:tabs>
        <w:ind w:right="1340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Dane osobowe będą przetwarzane na podstawie art. 6 ust. 1 lit. c) RODO (wypełnienie obowiązku prawnego ciążącego na administratorze) i art. 6 ust. 1 lit. e) RODO (wykonanie zadania realizowanego w interesie publicznym</w:t>
      </w:r>
      <w:r w:rsidRPr="00526534">
        <w:rPr>
          <w:spacing w:val="-31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lub</w:t>
      </w:r>
    </w:p>
    <w:p w14:paraId="1CE53224" w14:textId="77777777" w:rsidR="00046D5F" w:rsidRPr="00526534" w:rsidRDefault="00526534">
      <w:pPr>
        <w:pStyle w:val="Tekstpodstawowy"/>
        <w:ind w:left="1816" w:firstLine="0"/>
        <w:rPr>
          <w:lang w:val="pl-PL"/>
        </w:rPr>
      </w:pPr>
      <w:r w:rsidRPr="00526534">
        <w:rPr>
          <w:lang w:val="pl-PL"/>
        </w:rPr>
        <w:t>w ramach sprawowania władzy publicznej powierzonej administratorowi)</w:t>
      </w:r>
    </w:p>
    <w:p w14:paraId="1FC1445B" w14:textId="77777777" w:rsidR="00046D5F" w:rsidRPr="00526534" w:rsidRDefault="00526534">
      <w:pPr>
        <w:pStyle w:val="Tekstpodstawowy"/>
        <w:ind w:left="1816" w:right="1310" w:firstLine="0"/>
        <w:rPr>
          <w:lang w:val="pl-PL"/>
        </w:rPr>
      </w:pPr>
      <w:r w:rsidRPr="00526534">
        <w:rPr>
          <w:lang w:val="pl-PL"/>
        </w:rPr>
        <w:t>w związku z art. 9 ust. 2 lit. g) i art. 10 RODO oraz postanowieniami przepisów szczególnych:</w:t>
      </w:r>
    </w:p>
    <w:p w14:paraId="54681027" w14:textId="77777777" w:rsidR="00046D5F" w:rsidRPr="00526534" w:rsidRDefault="00526534">
      <w:pPr>
        <w:pStyle w:val="Akapitzlist"/>
        <w:numPr>
          <w:ilvl w:val="1"/>
          <w:numId w:val="3"/>
        </w:numPr>
        <w:tabs>
          <w:tab w:val="left" w:pos="2089"/>
          <w:tab w:val="left" w:pos="2090"/>
        </w:tabs>
        <w:ind w:right="1550"/>
        <w:rPr>
          <w:sz w:val="24"/>
          <w:lang w:val="pl-PL"/>
        </w:rPr>
      </w:pPr>
      <w:r w:rsidRPr="00526534">
        <w:rPr>
          <w:sz w:val="24"/>
          <w:lang w:val="pl-PL"/>
        </w:rPr>
        <w:t>Rozporządzenia Parlamentu Europejskiego i Rady (UE) 2021/1057 z</w:t>
      </w:r>
      <w:r w:rsidRPr="00526534">
        <w:rPr>
          <w:spacing w:val="-31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dnia 24 czerwca 2021 r. ustanawiające Europejski Fundusz Społeczny Plus (EFS+) oraz uchylające rozporządzenie (UE) nr</w:t>
      </w:r>
      <w:r w:rsidRPr="00526534">
        <w:rPr>
          <w:spacing w:val="-21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1296/2013;</w:t>
      </w:r>
    </w:p>
    <w:p w14:paraId="374091BE" w14:textId="77777777" w:rsidR="00046D5F" w:rsidRPr="00526534" w:rsidRDefault="00526534">
      <w:pPr>
        <w:pStyle w:val="Akapitzlist"/>
        <w:numPr>
          <w:ilvl w:val="1"/>
          <w:numId w:val="3"/>
        </w:numPr>
        <w:tabs>
          <w:tab w:val="left" w:pos="2089"/>
          <w:tab w:val="left" w:pos="2090"/>
        </w:tabs>
        <w:spacing w:line="293" w:lineRule="exact"/>
        <w:rPr>
          <w:sz w:val="24"/>
          <w:lang w:val="pl-PL"/>
        </w:rPr>
      </w:pPr>
      <w:r w:rsidRPr="00526534">
        <w:rPr>
          <w:sz w:val="24"/>
          <w:lang w:val="pl-PL"/>
        </w:rPr>
        <w:t>Rozporządzenia Parlamentu Europejskiego i Rady (UE) nr</w:t>
      </w:r>
      <w:r w:rsidRPr="00526534">
        <w:rPr>
          <w:spacing w:val="-28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2021/1060</w:t>
      </w:r>
    </w:p>
    <w:p w14:paraId="4323FD3D" w14:textId="77777777" w:rsidR="00046D5F" w:rsidRPr="00526534" w:rsidRDefault="00526534">
      <w:pPr>
        <w:pStyle w:val="Tekstpodstawowy"/>
        <w:ind w:left="2090" w:right="1408" w:firstLine="0"/>
        <w:rPr>
          <w:lang w:val="pl-PL"/>
        </w:rPr>
      </w:pPr>
      <w:r w:rsidRPr="00526534">
        <w:rPr>
          <w:lang w:val="pl-PL"/>
        </w:rPr>
        <w:t>z dnia 24 czerwca 2021 r. ustanawiającego wspólne przepisy dotyczące Europejskiego Funduszu Rozwoju Regionalnego, Europejskiego Funduszu Społecznego Plus, Funduszu Spójności, Funduszu na rzecz Sprawiedliwej Transformacji i Europejskiego Funduszu Morskiego, Rybackiego</w:t>
      </w:r>
    </w:p>
    <w:p w14:paraId="56B6F77B" w14:textId="77777777" w:rsidR="00046D5F" w:rsidRPr="00526534" w:rsidRDefault="00526534">
      <w:pPr>
        <w:pStyle w:val="Tekstpodstawowy"/>
        <w:ind w:left="2090" w:right="1542" w:firstLine="0"/>
        <w:rPr>
          <w:lang w:val="pl-PL"/>
        </w:rPr>
      </w:pPr>
      <w:r w:rsidRPr="00526534">
        <w:rPr>
          <w:lang w:val="pl-PL"/>
        </w:rPr>
        <w:t>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4412038" w14:textId="77777777" w:rsidR="00046D5F" w:rsidRPr="00526534" w:rsidRDefault="00526534">
      <w:pPr>
        <w:pStyle w:val="Akapitzlist"/>
        <w:numPr>
          <w:ilvl w:val="1"/>
          <w:numId w:val="3"/>
        </w:numPr>
        <w:tabs>
          <w:tab w:val="left" w:pos="2089"/>
          <w:tab w:val="left" w:pos="2090"/>
        </w:tabs>
        <w:ind w:right="1500"/>
        <w:rPr>
          <w:sz w:val="24"/>
          <w:lang w:val="pl-PL"/>
        </w:rPr>
      </w:pPr>
      <w:r w:rsidRPr="00526534">
        <w:rPr>
          <w:sz w:val="24"/>
          <w:lang w:val="pl-PL"/>
        </w:rPr>
        <w:t>Ustawy z dnia 28 kwietnia 2022 r. o zasadach realizacji zadań finansowanych ze środków europejskich w perspektywie finansowej 2021- 2027;</w:t>
      </w:r>
    </w:p>
    <w:p w14:paraId="117DEBD3" w14:textId="77777777" w:rsidR="00046D5F" w:rsidRPr="00526534" w:rsidRDefault="00526534">
      <w:pPr>
        <w:pStyle w:val="Akapitzlist"/>
        <w:numPr>
          <w:ilvl w:val="1"/>
          <w:numId w:val="3"/>
        </w:numPr>
        <w:tabs>
          <w:tab w:val="left" w:pos="2089"/>
          <w:tab w:val="left" w:pos="2090"/>
        </w:tabs>
        <w:spacing w:line="293" w:lineRule="exact"/>
        <w:rPr>
          <w:sz w:val="24"/>
          <w:lang w:val="pl-PL"/>
        </w:rPr>
      </w:pPr>
      <w:r w:rsidRPr="00526534">
        <w:rPr>
          <w:sz w:val="24"/>
          <w:lang w:val="pl-PL"/>
        </w:rPr>
        <w:t>Ustawy z dnia 27 sierpnia 2009 r. o finansach</w:t>
      </w:r>
      <w:r w:rsidRPr="00526534">
        <w:rPr>
          <w:spacing w:val="-27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publicznych;</w:t>
      </w:r>
    </w:p>
    <w:p w14:paraId="26CCAB36" w14:textId="77777777" w:rsidR="00046D5F" w:rsidRPr="00526534" w:rsidRDefault="00526534">
      <w:pPr>
        <w:pStyle w:val="Akapitzlist"/>
        <w:numPr>
          <w:ilvl w:val="1"/>
          <w:numId w:val="3"/>
        </w:numPr>
        <w:tabs>
          <w:tab w:val="left" w:pos="2089"/>
          <w:tab w:val="left" w:pos="2090"/>
        </w:tabs>
        <w:ind w:right="1816"/>
        <w:rPr>
          <w:sz w:val="24"/>
          <w:lang w:val="pl-PL"/>
        </w:rPr>
      </w:pPr>
      <w:r w:rsidRPr="00526534">
        <w:rPr>
          <w:noProof/>
          <w:lang w:val="pl-PL"/>
        </w:rPr>
        <w:drawing>
          <wp:anchor distT="0" distB="0" distL="0" distR="0" simplePos="0" relativeHeight="251658240" behindDoc="0" locked="0" layoutInCell="1" allowOverlap="1" wp14:anchorId="733D48FD" wp14:editId="1125FAAA">
            <wp:simplePos x="0" y="0"/>
            <wp:positionH relativeFrom="page">
              <wp:posOffset>273684</wp:posOffset>
            </wp:positionH>
            <wp:positionV relativeFrom="paragraph">
              <wp:posOffset>418839</wp:posOffset>
            </wp:positionV>
            <wp:extent cx="7119574" cy="6035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57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534">
        <w:rPr>
          <w:sz w:val="24"/>
          <w:lang w:val="pl-PL"/>
        </w:rPr>
        <w:t>Ustawy z dnia 20 kwietnia 2004 r. o promocji zatrudnienia i</w:t>
      </w:r>
      <w:r w:rsidRPr="00526534">
        <w:rPr>
          <w:spacing w:val="-24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instytucjach rynku</w:t>
      </w:r>
      <w:r w:rsidRPr="00526534">
        <w:rPr>
          <w:spacing w:val="-7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pracy;</w:t>
      </w:r>
    </w:p>
    <w:p w14:paraId="14D0FAE1" w14:textId="77777777" w:rsidR="00046D5F" w:rsidRPr="00526534" w:rsidRDefault="00046D5F">
      <w:pPr>
        <w:rPr>
          <w:sz w:val="24"/>
          <w:lang w:val="pl-PL"/>
        </w:rPr>
        <w:sectPr w:rsidR="00046D5F" w:rsidRPr="00526534">
          <w:type w:val="continuous"/>
          <w:pgSz w:w="11910" w:h="16840"/>
          <w:pgMar w:top="280" w:right="120" w:bottom="280" w:left="320" w:header="708" w:footer="708" w:gutter="0"/>
          <w:cols w:space="708"/>
        </w:sectPr>
      </w:pPr>
    </w:p>
    <w:p w14:paraId="30354F6C" w14:textId="77777777" w:rsidR="00046D5F" w:rsidRPr="00526534" w:rsidRDefault="00526534">
      <w:pPr>
        <w:pStyle w:val="Akapitzlist"/>
        <w:numPr>
          <w:ilvl w:val="0"/>
          <w:numId w:val="2"/>
        </w:numPr>
        <w:tabs>
          <w:tab w:val="left" w:pos="1029"/>
          <w:tab w:val="left" w:pos="1030"/>
        </w:tabs>
        <w:spacing w:before="76"/>
        <w:ind w:right="463"/>
        <w:rPr>
          <w:sz w:val="24"/>
          <w:lang w:val="pl-PL"/>
        </w:rPr>
      </w:pPr>
      <w:r w:rsidRPr="00526534">
        <w:rPr>
          <w:sz w:val="24"/>
          <w:lang w:val="pl-PL"/>
        </w:rPr>
        <w:lastRenderedPageBreak/>
        <w:t>Ustawy z dnia z dnia 14 lipca 1983 r. o narodowym zasobie archiwalnym i</w:t>
      </w:r>
      <w:r w:rsidRPr="00526534">
        <w:rPr>
          <w:spacing w:val="-5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archiwach;</w:t>
      </w:r>
    </w:p>
    <w:p w14:paraId="0834B93B" w14:textId="77777777" w:rsidR="00046D5F" w:rsidRPr="00526534" w:rsidRDefault="00526534">
      <w:pPr>
        <w:pStyle w:val="Akapitzlist"/>
        <w:numPr>
          <w:ilvl w:val="0"/>
          <w:numId w:val="2"/>
        </w:numPr>
        <w:tabs>
          <w:tab w:val="left" w:pos="1029"/>
          <w:tab w:val="left" w:pos="1030"/>
        </w:tabs>
        <w:spacing w:line="293" w:lineRule="exact"/>
        <w:rPr>
          <w:sz w:val="24"/>
          <w:lang w:val="pl-PL"/>
        </w:rPr>
      </w:pPr>
      <w:r w:rsidRPr="00526534">
        <w:rPr>
          <w:sz w:val="24"/>
          <w:lang w:val="pl-PL"/>
        </w:rPr>
        <w:t>Ustawy z dnia 20 marca 2025 r. o rynku pracy i służbach</w:t>
      </w:r>
      <w:r w:rsidRPr="00526534">
        <w:rPr>
          <w:spacing w:val="-2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zatrudnienia.</w:t>
      </w:r>
    </w:p>
    <w:p w14:paraId="69B2BB7D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464"/>
        </w:tabs>
        <w:ind w:left="463" w:right="287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Dane osobowe są pozyskiwane i przetwarzane w celu realizacji zadań Instytucji Pośredniczącej w ramach Działania 6.1 priorytetu 6 Programu Fundusze Europejskie dla Lubuskiego 2021-2027, w tym w szczególności: przeprowadzenia naboru i oceny wniosków o dofinansowanie, prowadzenia procedury odwoławczej, zawarcia oraz dokonywania zmian w</w:t>
      </w:r>
      <w:r w:rsidRPr="00526534">
        <w:rPr>
          <w:spacing w:val="-26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umowie</w:t>
      </w:r>
    </w:p>
    <w:p w14:paraId="08CF86F3" w14:textId="77777777" w:rsidR="00046D5F" w:rsidRPr="00526534" w:rsidRDefault="00526534">
      <w:pPr>
        <w:pStyle w:val="Tekstpodstawowy"/>
        <w:ind w:left="463" w:firstLine="0"/>
        <w:rPr>
          <w:lang w:val="pl-PL"/>
        </w:rPr>
      </w:pPr>
      <w:r w:rsidRPr="00526534">
        <w:rPr>
          <w:lang w:val="pl-PL"/>
        </w:rPr>
        <w:t>o dofinansowanie, realizacji praw i obowiązków wynikających z umowy</w:t>
      </w:r>
    </w:p>
    <w:p w14:paraId="1C78D845" w14:textId="77777777" w:rsidR="00046D5F" w:rsidRPr="00526534" w:rsidRDefault="00526534">
      <w:pPr>
        <w:pStyle w:val="Tekstpodstawowy"/>
        <w:ind w:left="463" w:right="109" w:firstLine="0"/>
        <w:rPr>
          <w:lang w:val="pl-PL"/>
        </w:rPr>
      </w:pPr>
      <w:r w:rsidRPr="00526534">
        <w:rPr>
          <w:lang w:val="pl-PL"/>
        </w:rPr>
        <w:t>o dofinansowanie projektu, a przede wszystkim: rozliczania finansowego projektu na etapie weryfikacji wniosków o płatność, wypłaty dofinansowania, monitoringu</w:t>
      </w:r>
    </w:p>
    <w:p w14:paraId="630D8730" w14:textId="77777777" w:rsidR="00046D5F" w:rsidRPr="00526534" w:rsidRDefault="00526534">
      <w:pPr>
        <w:pStyle w:val="Tekstpodstawowy"/>
        <w:ind w:left="463" w:right="950" w:firstLine="0"/>
        <w:rPr>
          <w:lang w:val="pl-PL"/>
        </w:rPr>
      </w:pPr>
      <w:r w:rsidRPr="00526534">
        <w:rPr>
          <w:lang w:val="pl-PL"/>
        </w:rPr>
        <w:t>i kontroli, wykrywaniu nieprawidłowości, nakładaniu korekt finansowych, odzyskiwania środków wypłaconych w związku z realizacją projektu, prowadzenia działań informacyjno-promocyjnych, prowadzenia badań ewaluacyjnych, ekspertyz i analiz, ochrony interesów finansowych Unii Europejskiej, rejestracji i przechowywania w formie elektronicznej danych dotyczących projektów, archiwizacji dokumentacji.</w:t>
      </w:r>
    </w:p>
    <w:p w14:paraId="19081827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464"/>
        </w:tabs>
        <w:spacing w:line="275" w:lineRule="exact"/>
        <w:ind w:left="463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Przetwarzane będą następujące kategorie danych</w:t>
      </w:r>
      <w:r w:rsidRPr="00526534">
        <w:rPr>
          <w:spacing w:val="-30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osobowych:</w:t>
      </w:r>
    </w:p>
    <w:p w14:paraId="6693503B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659"/>
        <w:rPr>
          <w:sz w:val="24"/>
          <w:lang w:val="pl-PL"/>
        </w:rPr>
      </w:pPr>
      <w:r w:rsidRPr="00526534">
        <w:rPr>
          <w:sz w:val="24"/>
          <w:lang w:val="pl-PL"/>
        </w:rPr>
        <w:t>dane uczestników projektów: m.in. imię, nazwisko, PESEL, wiek, płeć, obywatelstwo, wykształcenie, adres zamieszkania, nr telefonu, e-mail, miejsce pracy, przynależność do mniejszości narodowej lub etnicznej, migrant, osoba obcego pochodzenia, obywatel państwa trzeciego, bezdomność i wykluczenie mieszkaniowe, informacje o stanie</w:t>
      </w:r>
      <w:r w:rsidRPr="00526534">
        <w:rPr>
          <w:spacing w:val="-27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zdrowia, w tym stopniu niepełnosprawności, status na rynku pracy, szczegóły wsparcia;</w:t>
      </w:r>
    </w:p>
    <w:p w14:paraId="3C79CCE3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979"/>
        <w:rPr>
          <w:sz w:val="24"/>
          <w:lang w:val="pl-PL"/>
        </w:rPr>
      </w:pPr>
      <w:r w:rsidRPr="00526534">
        <w:rPr>
          <w:sz w:val="24"/>
          <w:lang w:val="pl-PL"/>
        </w:rPr>
        <w:t>dane przedstawicieli/pracowników/reprezentantów</w:t>
      </w:r>
      <w:r w:rsidRPr="00526534">
        <w:rPr>
          <w:spacing w:val="-22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wnioskodawców, beneficjentów i partnerów projektów, którzy aplikują o środki</w:t>
      </w:r>
      <w:r w:rsidRPr="00526534">
        <w:rPr>
          <w:spacing w:val="-25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unijne</w:t>
      </w:r>
    </w:p>
    <w:p w14:paraId="27B5F80F" w14:textId="77777777" w:rsidR="00046D5F" w:rsidRPr="00526534" w:rsidRDefault="00526534">
      <w:pPr>
        <w:pStyle w:val="Tekstpodstawowy"/>
        <w:ind w:right="90" w:firstLine="0"/>
        <w:rPr>
          <w:lang w:val="pl-PL"/>
        </w:rPr>
      </w:pPr>
      <w:r w:rsidRPr="00526534">
        <w:rPr>
          <w:lang w:val="pl-PL"/>
        </w:rPr>
        <w:t>i realizują projekty: m.in. imię, nazwisko, forma prawna, adres siedziby, NIP, Regon, dane osób uprawnionych do podejmowania decyzji wiążących, nazwa partnera, adres, nr telefonu, e-mail, nr rachunku bankowego;</w:t>
      </w:r>
    </w:p>
    <w:p w14:paraId="0AFA17E4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387"/>
        <w:rPr>
          <w:sz w:val="24"/>
          <w:lang w:val="pl-PL"/>
        </w:rPr>
      </w:pPr>
      <w:r w:rsidRPr="00526534">
        <w:rPr>
          <w:sz w:val="24"/>
          <w:lang w:val="pl-PL"/>
        </w:rPr>
        <w:t>dane pracowników zaangażowanych w przygotowanie i realizację projektów: m.in. imię, nazwisko, e-mail, miejsce pracy, nr telefonu, nazwa wnioskodawcy, rodzaj</w:t>
      </w:r>
      <w:r w:rsidRPr="00526534">
        <w:rPr>
          <w:spacing w:val="-1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użytkownika;</w:t>
      </w:r>
    </w:p>
    <w:p w14:paraId="37734166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spacing w:before="3" w:line="237" w:lineRule="auto"/>
        <w:ind w:right="336"/>
        <w:rPr>
          <w:sz w:val="24"/>
          <w:lang w:val="pl-PL"/>
        </w:rPr>
      </w:pPr>
      <w:r w:rsidRPr="00526534">
        <w:rPr>
          <w:sz w:val="24"/>
          <w:lang w:val="pl-PL"/>
        </w:rPr>
        <w:t>dane personelu projektów: m.in. imię, nazwisko, kraj, PESEL,</w:t>
      </w:r>
      <w:r w:rsidRPr="00526534">
        <w:rPr>
          <w:spacing w:val="-28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stanowisko, forma i okres zaangażowania w projekcie, wymiar i godziny czasu pracy, wysokość wynagrodzenia, nr rachunku</w:t>
      </w:r>
      <w:r w:rsidRPr="00526534">
        <w:rPr>
          <w:spacing w:val="-24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bankowego;</w:t>
      </w:r>
    </w:p>
    <w:p w14:paraId="5BA0A90A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spacing w:before="1"/>
        <w:ind w:right="304"/>
        <w:rPr>
          <w:sz w:val="24"/>
          <w:lang w:val="pl-PL"/>
        </w:rPr>
      </w:pPr>
      <w:r w:rsidRPr="00526534">
        <w:rPr>
          <w:sz w:val="24"/>
          <w:lang w:val="pl-PL"/>
        </w:rPr>
        <w:t>dane uczestników szkoleń, konferencji, działań informacyjnych: m.in. imię, nazwisko, stanowisko, nazwa i adres instytucji, profil działalności, e-mail, telefon;</w:t>
      </w:r>
    </w:p>
    <w:p w14:paraId="3D81CD4F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131"/>
        <w:rPr>
          <w:sz w:val="24"/>
          <w:lang w:val="pl-PL"/>
        </w:rPr>
      </w:pPr>
      <w:r w:rsidRPr="00526534">
        <w:rPr>
          <w:sz w:val="24"/>
          <w:lang w:val="pl-PL"/>
        </w:rPr>
        <w:t>dane osobowe oferentów/wykonawców/podwykonawców realizujących umowy w ramach projektów (w tym w ramach zamówień publicznych): m.in. imię, nazwisko, nazwa podmiotu, adres, NIP, Regon, nr telefonu, e-mail, wysokość wynagrodzenia, nr rachunku bankowego, zakres świadczonych usług;</w:t>
      </w:r>
    </w:p>
    <w:p w14:paraId="37AE2006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1100"/>
        <w:rPr>
          <w:sz w:val="24"/>
          <w:lang w:val="pl-PL"/>
        </w:rPr>
      </w:pPr>
      <w:r w:rsidRPr="00526534">
        <w:rPr>
          <w:sz w:val="24"/>
          <w:lang w:val="pl-PL"/>
        </w:rPr>
        <w:t>dane członków komisji przetargowych: m.in. imię, nazwisko, stanowisko/funkcja, komórka organizacyjna, miejsce pracy, e-mail, nr</w:t>
      </w:r>
      <w:r w:rsidRPr="00526534">
        <w:rPr>
          <w:spacing w:val="-4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telefonu;</w:t>
      </w:r>
    </w:p>
    <w:p w14:paraId="2E0F553B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320"/>
        <w:rPr>
          <w:sz w:val="24"/>
          <w:lang w:val="pl-PL"/>
        </w:rPr>
      </w:pPr>
      <w:r w:rsidRPr="00526534">
        <w:rPr>
          <w:sz w:val="24"/>
          <w:lang w:val="pl-PL"/>
        </w:rPr>
        <w:t>dane użytkowników systemów informatycznych: m.in. imię, nazwisko, stanowisko, komórka organizacyjna, instytucja, login, adres IP</w:t>
      </w:r>
      <w:r w:rsidRPr="00526534">
        <w:rPr>
          <w:spacing w:val="-21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komputera.</w:t>
      </w:r>
    </w:p>
    <w:p w14:paraId="1D45841D" w14:textId="77777777" w:rsidR="00046D5F" w:rsidRPr="00526534" w:rsidRDefault="00046D5F">
      <w:pPr>
        <w:rPr>
          <w:sz w:val="24"/>
          <w:lang w:val="pl-PL"/>
        </w:rPr>
        <w:sectPr w:rsidR="00046D5F" w:rsidRPr="00526534">
          <w:pgSz w:w="11910" w:h="16840"/>
          <w:pgMar w:top="1320" w:right="1320" w:bottom="280" w:left="1380" w:header="708" w:footer="708" w:gutter="0"/>
          <w:cols w:space="708"/>
        </w:sectPr>
      </w:pPr>
    </w:p>
    <w:p w14:paraId="0EEA118C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544"/>
        </w:tabs>
        <w:spacing w:before="75"/>
        <w:ind w:left="543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lastRenderedPageBreak/>
        <w:t>Odbiorcami danych osobowych są lub mogą być podmioty, o których</w:t>
      </w:r>
      <w:r w:rsidRPr="00526534">
        <w:rPr>
          <w:spacing w:val="-24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mowa</w:t>
      </w:r>
    </w:p>
    <w:p w14:paraId="44AFE680" w14:textId="77777777" w:rsidR="00046D5F" w:rsidRPr="00526534" w:rsidRDefault="00526534">
      <w:pPr>
        <w:pStyle w:val="Tekstpodstawowy"/>
        <w:ind w:left="543" w:right="76" w:firstLine="0"/>
        <w:rPr>
          <w:lang w:val="pl-PL"/>
        </w:rPr>
      </w:pPr>
      <w:r w:rsidRPr="00526534">
        <w:rPr>
          <w:lang w:val="pl-PL"/>
        </w:rPr>
        <w:t>w art. 87 ust. 1 ustawy wdrożeniowej w zakresie niezbędnym do realizacji zadań związanych z wdrażaniem programu, tj. w szczególności:</w:t>
      </w:r>
    </w:p>
    <w:p w14:paraId="2B2A90A5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459"/>
        <w:rPr>
          <w:sz w:val="24"/>
          <w:lang w:val="pl-PL"/>
        </w:rPr>
      </w:pPr>
      <w:r w:rsidRPr="00526534">
        <w:rPr>
          <w:sz w:val="24"/>
          <w:lang w:val="pl-PL"/>
        </w:rPr>
        <w:t>minister właściwy do spraw rozwoju regionalnego wykonujący zadania państwa członkowskiego, o którym mowa w art. 5 ustawy</w:t>
      </w:r>
      <w:r w:rsidRPr="00526534">
        <w:rPr>
          <w:spacing w:val="-22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wdrożeniowej;</w:t>
      </w:r>
    </w:p>
    <w:p w14:paraId="1AFBE31C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1141"/>
        <w:rPr>
          <w:sz w:val="24"/>
          <w:lang w:val="pl-PL"/>
        </w:rPr>
      </w:pPr>
      <w:r w:rsidRPr="00526534">
        <w:rPr>
          <w:sz w:val="24"/>
          <w:lang w:val="pl-PL"/>
        </w:rPr>
        <w:t>Instytucja zarządzająca (IZ), o której mowa art. 2 pkt 12) ustawy wdrożeniowej, którą w ramach FEWL jest Województwo Lubuskie reprezentowane przez Zarząd Województwa</w:t>
      </w:r>
      <w:r w:rsidRPr="00526534">
        <w:rPr>
          <w:spacing w:val="-2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Lubuskiego;</w:t>
      </w:r>
    </w:p>
    <w:p w14:paraId="4C44627E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584"/>
        <w:rPr>
          <w:sz w:val="24"/>
          <w:lang w:val="pl-PL"/>
        </w:rPr>
      </w:pPr>
      <w:r w:rsidRPr="00526534">
        <w:rPr>
          <w:sz w:val="24"/>
          <w:lang w:val="pl-PL"/>
        </w:rPr>
        <w:t>inne osoby, instytucje i podmioty uczestniczące w systemie realizacji FEWL: kandydaci na ekspertów i eksperci, o których mowa w</w:t>
      </w:r>
      <w:r w:rsidRPr="00526534">
        <w:rPr>
          <w:spacing w:val="-29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rozdziale 17 ustawy</w:t>
      </w:r>
      <w:r w:rsidRPr="00526534">
        <w:rPr>
          <w:spacing w:val="-9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wdrożeniowej;</w:t>
      </w:r>
    </w:p>
    <w:p w14:paraId="768353E3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183"/>
        <w:rPr>
          <w:sz w:val="24"/>
          <w:lang w:val="pl-PL"/>
        </w:rPr>
      </w:pPr>
      <w:r w:rsidRPr="00526534">
        <w:rPr>
          <w:sz w:val="24"/>
          <w:lang w:val="pl-PL"/>
        </w:rPr>
        <w:t>członkowie Komitetu Monitorującego, o którym mowa w rozdziale 5</w:t>
      </w:r>
      <w:r w:rsidRPr="00526534">
        <w:rPr>
          <w:spacing w:val="-28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ustawy wdrożeniowej;</w:t>
      </w:r>
    </w:p>
    <w:p w14:paraId="27361CAF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459"/>
        <w:rPr>
          <w:sz w:val="24"/>
          <w:lang w:val="pl-PL"/>
        </w:rPr>
      </w:pPr>
      <w:r w:rsidRPr="00526534">
        <w:rPr>
          <w:sz w:val="24"/>
          <w:lang w:val="pl-PL"/>
        </w:rPr>
        <w:t>Instytucja audytowa, o której mowa w art. 2 pkt 9) ustawy wdrożeniowej, którą jest Szef Krajowej Administracji</w:t>
      </w:r>
      <w:r w:rsidRPr="00526534">
        <w:rPr>
          <w:spacing w:val="-16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Skarbowej;</w:t>
      </w:r>
    </w:p>
    <w:p w14:paraId="61F72ABB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939"/>
        <w:rPr>
          <w:sz w:val="24"/>
          <w:lang w:val="pl-PL"/>
        </w:rPr>
      </w:pPr>
      <w:r w:rsidRPr="00526534">
        <w:rPr>
          <w:sz w:val="24"/>
          <w:lang w:val="pl-PL"/>
        </w:rPr>
        <w:t>minister właściwy ds. finansów publicznych, który prowadzi rejestr podmiotów wykluczonych na podstawie art. 207 ustawy o finansach publicznych;</w:t>
      </w:r>
    </w:p>
    <w:p w14:paraId="622F3ADF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294"/>
        <w:rPr>
          <w:sz w:val="24"/>
          <w:lang w:val="pl-PL"/>
        </w:rPr>
      </w:pPr>
      <w:r w:rsidRPr="00526534">
        <w:rPr>
          <w:sz w:val="24"/>
          <w:lang w:val="pl-PL"/>
        </w:rPr>
        <w:t>Bank Gospodarstwa Krajowego zajmujący się obsługą bankową płatności i współfinansowania w ramach</w:t>
      </w:r>
      <w:r w:rsidRPr="00526534">
        <w:rPr>
          <w:spacing w:val="-1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FEWL;</w:t>
      </w:r>
    </w:p>
    <w:p w14:paraId="48F26F47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ind w:right="339"/>
        <w:rPr>
          <w:sz w:val="24"/>
          <w:lang w:val="pl-PL"/>
        </w:rPr>
      </w:pPr>
      <w:r w:rsidRPr="00526534">
        <w:rPr>
          <w:sz w:val="24"/>
          <w:lang w:val="pl-PL"/>
        </w:rPr>
        <w:t>instytucje Unii Europejskiej oraz inne podmioty uczestniczące w systemie realizacji</w:t>
      </w:r>
      <w:r w:rsidRPr="00526534">
        <w:rPr>
          <w:spacing w:val="-6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programu;</w:t>
      </w:r>
    </w:p>
    <w:p w14:paraId="17A3D0B6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spacing w:line="293" w:lineRule="exact"/>
        <w:rPr>
          <w:sz w:val="24"/>
          <w:lang w:val="pl-PL"/>
        </w:rPr>
      </w:pPr>
      <w:r w:rsidRPr="00526534">
        <w:rPr>
          <w:sz w:val="24"/>
          <w:lang w:val="pl-PL"/>
        </w:rPr>
        <w:t>beneficjent;</w:t>
      </w:r>
    </w:p>
    <w:p w14:paraId="028A8866" w14:textId="77777777" w:rsidR="00046D5F" w:rsidRPr="00526534" w:rsidRDefault="00526534">
      <w:pPr>
        <w:pStyle w:val="Akapitzlist"/>
        <w:numPr>
          <w:ilvl w:val="1"/>
          <w:numId w:val="1"/>
        </w:numPr>
        <w:tabs>
          <w:tab w:val="left" w:pos="1109"/>
          <w:tab w:val="left" w:pos="1110"/>
        </w:tabs>
        <w:spacing w:line="292" w:lineRule="exact"/>
        <w:rPr>
          <w:sz w:val="24"/>
          <w:lang w:val="pl-PL"/>
        </w:rPr>
      </w:pPr>
      <w:r w:rsidRPr="00526534">
        <w:rPr>
          <w:sz w:val="24"/>
          <w:lang w:val="pl-PL"/>
        </w:rPr>
        <w:t>realizator.</w:t>
      </w:r>
    </w:p>
    <w:p w14:paraId="179F5FF6" w14:textId="77777777" w:rsidR="00046D5F" w:rsidRPr="00526534" w:rsidRDefault="00526534">
      <w:pPr>
        <w:pStyle w:val="Tekstpodstawowy"/>
        <w:ind w:left="116" w:right="76" w:firstLine="0"/>
        <w:rPr>
          <w:lang w:val="pl-PL"/>
        </w:rPr>
      </w:pPr>
      <w:r w:rsidRPr="00526534">
        <w:rPr>
          <w:lang w:val="pl-PL"/>
        </w:rPr>
        <w:t xml:space="preserve">Odbiorcami danych osobowych mogą ponadto być osoby lub podmioty, którym może być udostępniona dokumentacja na podstawie art. 1 ust. 1 ustawy z dnia 6 września 2001 r. o dostępie do informacji publicznej, podmioty uprawnione do obsługi doręczeń pocztowych, podmioty świadczące usługi doręczania przy użyciu środków komunikacji elektronicznej (w tym </w:t>
      </w:r>
      <w:proofErr w:type="spellStart"/>
      <w:r w:rsidRPr="00526534">
        <w:rPr>
          <w:lang w:val="pl-PL"/>
        </w:rPr>
        <w:t>ePUAP</w:t>
      </w:r>
      <w:proofErr w:type="spellEnd"/>
      <w:r w:rsidRPr="00526534">
        <w:rPr>
          <w:lang w:val="pl-PL"/>
        </w:rPr>
        <w:t>, e-doręczenia), instytucje bankowe</w:t>
      </w:r>
    </w:p>
    <w:p w14:paraId="58312EF8" w14:textId="77777777" w:rsidR="00046D5F" w:rsidRPr="00526534" w:rsidRDefault="00526534">
      <w:pPr>
        <w:pStyle w:val="Tekstpodstawowy"/>
        <w:ind w:left="116" w:right="90" w:firstLine="0"/>
        <w:rPr>
          <w:lang w:val="pl-PL"/>
        </w:rPr>
      </w:pPr>
      <w:r w:rsidRPr="00526534">
        <w:rPr>
          <w:lang w:val="pl-PL"/>
        </w:rPr>
        <w:t>(w zakresie przekazywania środków finansowych na realizację projektów), podmiot świadczący usługi hostingu poczty elektronicznej WUP, podmioty, którym przekazuje się dokumentację zawierającą dane osobowe w celu brakowania (niszczenia), jak również inne podmioty przetwarzające dane osobowe w imieniu administratora na podstawie zawartych umów/porozumień w sprawie powierzenia przetwarzania danych osobowych (w tym dostawcy systemów informatycznych). Dane osobowe mogą zostać ujawnione organom upoważnionym do otr</w:t>
      </w:r>
      <w:r w:rsidRPr="00526534">
        <w:rPr>
          <w:lang w:val="pl-PL"/>
        </w:rPr>
        <w:t>zymania danych osobowych na podstawie innych przepisów prawa (organom kontrolnym, sądom, organom ścigania).</w:t>
      </w:r>
    </w:p>
    <w:p w14:paraId="71E3BF53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544"/>
        </w:tabs>
        <w:ind w:left="543" w:right="948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Dane osobowe nie będą przekazywane do państwa</w:t>
      </w:r>
      <w:r w:rsidRPr="00526534">
        <w:rPr>
          <w:spacing w:val="-29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trzeciego/organizacji międzynarodowej.</w:t>
      </w:r>
    </w:p>
    <w:p w14:paraId="492FCE2F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544"/>
        </w:tabs>
        <w:ind w:left="543" w:right="221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Dane osobowe będą przechowywane przez okres wskazany w art. 91 ustawy wdrożeniowej niezbędny do realizacji Działania 6.1 oraz spełnienia obowiązków archiwizacyjnych wynikających z przepisów o narodowym zasobie archiwalnym i</w:t>
      </w:r>
      <w:r w:rsidRPr="00526534">
        <w:rPr>
          <w:spacing w:val="-5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archiwach.</w:t>
      </w:r>
    </w:p>
    <w:p w14:paraId="4A05C4CE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544"/>
        </w:tabs>
        <w:ind w:left="543" w:right="128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Przetwarzanie danych osobowych nie odbywa się na podstawie art. 6 ust. 1 lit. f) RODO, tzn. nie dotyczy prawnie uzasadnionych interesów realizowanych przez administratora.</w:t>
      </w:r>
    </w:p>
    <w:p w14:paraId="5A5BE39B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607"/>
        </w:tabs>
        <w:ind w:left="543" w:right="242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W związku z przetwarzaniem danych osobowych przysługują określone prawa, tj.:</w:t>
      </w:r>
    </w:p>
    <w:p w14:paraId="1237AA2C" w14:textId="77777777" w:rsidR="00046D5F" w:rsidRPr="00526534" w:rsidRDefault="00046D5F">
      <w:pPr>
        <w:rPr>
          <w:sz w:val="24"/>
          <w:lang w:val="pl-PL"/>
        </w:rPr>
        <w:sectPr w:rsidR="00046D5F" w:rsidRPr="00526534">
          <w:pgSz w:w="11910" w:h="16840"/>
          <w:pgMar w:top="1320" w:right="1380" w:bottom="280" w:left="1300" w:header="708" w:footer="708" w:gutter="0"/>
          <w:cols w:space="708"/>
        </w:sectPr>
      </w:pPr>
    </w:p>
    <w:p w14:paraId="7C880CEF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spacing w:before="76"/>
        <w:ind w:right="589"/>
        <w:rPr>
          <w:sz w:val="24"/>
          <w:lang w:val="pl-PL"/>
        </w:rPr>
      </w:pPr>
      <w:r w:rsidRPr="00526534">
        <w:rPr>
          <w:sz w:val="24"/>
          <w:lang w:val="pl-PL"/>
        </w:rPr>
        <w:lastRenderedPageBreak/>
        <w:t>prawo dostępu do treści danych osobowych oraz prawo otrzymania ich kopii;</w:t>
      </w:r>
    </w:p>
    <w:p w14:paraId="0A651A73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spacing w:line="293" w:lineRule="exact"/>
        <w:rPr>
          <w:sz w:val="24"/>
          <w:lang w:val="pl-PL"/>
        </w:rPr>
      </w:pPr>
      <w:r w:rsidRPr="00526534">
        <w:rPr>
          <w:sz w:val="24"/>
          <w:lang w:val="pl-PL"/>
        </w:rPr>
        <w:t>prawo do żądania sprostowania (poprawiania) danych</w:t>
      </w:r>
      <w:r w:rsidRPr="00526534">
        <w:rPr>
          <w:spacing w:val="-26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osobowych;</w:t>
      </w:r>
    </w:p>
    <w:p w14:paraId="63B4575C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1065"/>
        <w:rPr>
          <w:sz w:val="24"/>
          <w:lang w:val="pl-PL"/>
        </w:rPr>
      </w:pPr>
      <w:r w:rsidRPr="00526534">
        <w:rPr>
          <w:sz w:val="24"/>
          <w:lang w:val="pl-PL"/>
        </w:rPr>
        <w:t>prawo do żądania ograniczenia przetwarzania danych</w:t>
      </w:r>
      <w:r w:rsidRPr="00526534">
        <w:rPr>
          <w:spacing w:val="-32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osobowych, w przypadkach określonych w art. 18</w:t>
      </w:r>
      <w:r w:rsidRPr="00526534">
        <w:rPr>
          <w:spacing w:val="-1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RODO;</w:t>
      </w:r>
    </w:p>
    <w:p w14:paraId="18885D5C" w14:textId="77777777" w:rsidR="00046D5F" w:rsidRPr="00526534" w:rsidRDefault="00526534">
      <w:pPr>
        <w:pStyle w:val="Akapitzlist"/>
        <w:numPr>
          <w:ilvl w:val="0"/>
          <w:numId w:val="1"/>
        </w:numPr>
        <w:tabs>
          <w:tab w:val="left" w:pos="1029"/>
          <w:tab w:val="left" w:pos="1030"/>
        </w:tabs>
        <w:ind w:right="640"/>
        <w:rPr>
          <w:sz w:val="24"/>
          <w:lang w:val="pl-PL"/>
        </w:rPr>
      </w:pPr>
      <w:r w:rsidRPr="00526534">
        <w:rPr>
          <w:sz w:val="24"/>
          <w:lang w:val="pl-PL"/>
        </w:rPr>
        <w:t>prawo wniesienia sprzeciwu wobec przetwarzania danych osobowych, w przypadkach określonych w art. 21</w:t>
      </w:r>
      <w:r w:rsidRPr="00526534">
        <w:rPr>
          <w:spacing w:val="-13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RODO.</w:t>
      </w:r>
    </w:p>
    <w:p w14:paraId="42724C57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464"/>
        </w:tabs>
        <w:ind w:left="463" w:right="102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</w:t>
      </w:r>
      <w:r w:rsidRPr="00526534">
        <w:rPr>
          <w:spacing w:val="-9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cofnięciem.</w:t>
      </w:r>
    </w:p>
    <w:p w14:paraId="35E78F1B" w14:textId="77777777" w:rsidR="00046D5F" w:rsidRPr="00526534" w:rsidRDefault="00526534">
      <w:pPr>
        <w:pStyle w:val="Akapitzlist"/>
        <w:numPr>
          <w:ilvl w:val="0"/>
          <w:numId w:val="3"/>
        </w:numPr>
        <w:tabs>
          <w:tab w:val="left" w:pos="464"/>
        </w:tabs>
        <w:ind w:left="463" w:right="164"/>
        <w:jc w:val="left"/>
        <w:rPr>
          <w:sz w:val="24"/>
          <w:lang w:val="pl-PL"/>
        </w:rPr>
      </w:pPr>
      <w:r w:rsidRPr="00526534">
        <w:rPr>
          <w:sz w:val="24"/>
          <w:lang w:val="pl-PL"/>
        </w:rPr>
        <w:t>Osoba, której dane dotyczą ma prawo wniesienia skargi do organu</w:t>
      </w:r>
      <w:r w:rsidRPr="00526534">
        <w:rPr>
          <w:spacing w:val="-36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nadzorczego (Prezesa Urzędu Ochrony Danych Osobowych), gdy uzna, że przetwarzanie danych osobowych narusza przepisy</w:t>
      </w:r>
      <w:r w:rsidRPr="00526534">
        <w:rPr>
          <w:spacing w:val="-19"/>
          <w:sz w:val="24"/>
          <w:lang w:val="pl-PL"/>
        </w:rPr>
        <w:t xml:space="preserve"> </w:t>
      </w:r>
      <w:r w:rsidRPr="00526534">
        <w:rPr>
          <w:sz w:val="24"/>
          <w:lang w:val="pl-PL"/>
        </w:rPr>
        <w:t>RODO.</w:t>
      </w:r>
    </w:p>
    <w:p w14:paraId="0F69CF0F" w14:textId="77777777" w:rsidR="00046D5F" w:rsidRPr="00526534" w:rsidRDefault="00526534">
      <w:pPr>
        <w:pStyle w:val="Tekstpodstawowy"/>
        <w:ind w:left="463" w:right="622"/>
        <w:rPr>
          <w:lang w:val="pl-PL"/>
        </w:rPr>
      </w:pPr>
      <w:r w:rsidRPr="00526534">
        <w:rPr>
          <w:lang w:val="pl-PL"/>
        </w:rPr>
        <w:t>13)Źródłem pochodzenia danych osobowych jest beneficjent/realizator projektu realizowanego w ramach Działania 6.1 FEWL 2021-2027.</w:t>
      </w:r>
    </w:p>
    <w:p w14:paraId="69393A87" w14:textId="77777777" w:rsidR="00046D5F" w:rsidRPr="00526534" w:rsidRDefault="00526534">
      <w:pPr>
        <w:pStyle w:val="Tekstpodstawowy"/>
        <w:ind w:left="463" w:right="1155"/>
        <w:rPr>
          <w:lang w:val="pl-PL"/>
        </w:rPr>
      </w:pPr>
      <w:r w:rsidRPr="00526534">
        <w:rPr>
          <w:lang w:val="pl-PL"/>
        </w:rPr>
        <w:t>14)W stosunku do pozyskanych danych osobowych nie będzie stosowane zautomatyzowane podejmowanie decyzji w formie profilowania.</w:t>
      </w:r>
    </w:p>
    <w:sectPr w:rsidR="00046D5F" w:rsidRPr="00526534">
      <w:pgSz w:w="11910" w:h="16840"/>
      <w:pgMar w:top="1320" w:right="138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3DB2"/>
    <w:multiLevelType w:val="hybridMultilevel"/>
    <w:tmpl w:val="4D0A0C12"/>
    <w:lvl w:ilvl="0" w:tplc="806069C2">
      <w:numFmt w:val="bullet"/>
      <w:lvlText w:val=""/>
      <w:lvlJc w:val="left"/>
      <w:pPr>
        <w:ind w:left="10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412F706"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57328A3C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9E021CD8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F0F8E45E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710EA2E6"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FEC6BD96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D616CCCE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7ABE4828"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1" w15:restartNumberingAfterBreak="0">
    <w:nsid w:val="43F71B2D"/>
    <w:multiLevelType w:val="hybridMultilevel"/>
    <w:tmpl w:val="95348190"/>
    <w:lvl w:ilvl="0" w:tplc="EC4A95F6">
      <w:start w:val="1"/>
      <w:numFmt w:val="decimal"/>
      <w:lvlText w:val="%1)"/>
      <w:lvlJc w:val="left"/>
      <w:pPr>
        <w:ind w:left="1816" w:hanging="360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864ED2BA">
      <w:numFmt w:val="bullet"/>
      <w:lvlText w:val=""/>
      <w:lvlJc w:val="left"/>
      <w:pPr>
        <w:ind w:left="209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588C64E"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50E85C12">
      <w:numFmt w:val="bullet"/>
      <w:lvlText w:val="•"/>
      <w:lvlJc w:val="left"/>
      <w:pPr>
        <w:ind w:left="4181" w:hanging="360"/>
      </w:pPr>
      <w:rPr>
        <w:rFonts w:hint="default"/>
      </w:rPr>
    </w:lvl>
    <w:lvl w:ilvl="4" w:tplc="B2109C8A">
      <w:numFmt w:val="bullet"/>
      <w:lvlText w:val="•"/>
      <w:lvlJc w:val="left"/>
      <w:pPr>
        <w:ind w:left="5222" w:hanging="360"/>
      </w:pPr>
      <w:rPr>
        <w:rFonts w:hint="default"/>
      </w:rPr>
    </w:lvl>
    <w:lvl w:ilvl="5" w:tplc="DA0A5A26">
      <w:numFmt w:val="bullet"/>
      <w:lvlText w:val="•"/>
      <w:lvlJc w:val="left"/>
      <w:pPr>
        <w:ind w:left="6262" w:hanging="360"/>
      </w:pPr>
      <w:rPr>
        <w:rFonts w:hint="default"/>
      </w:rPr>
    </w:lvl>
    <w:lvl w:ilvl="6" w:tplc="EB501504">
      <w:numFmt w:val="bullet"/>
      <w:lvlText w:val="•"/>
      <w:lvlJc w:val="left"/>
      <w:pPr>
        <w:ind w:left="7303" w:hanging="360"/>
      </w:pPr>
      <w:rPr>
        <w:rFonts w:hint="default"/>
      </w:rPr>
    </w:lvl>
    <w:lvl w:ilvl="7" w:tplc="ADC61476"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3872EA30">
      <w:numFmt w:val="bullet"/>
      <w:lvlText w:val="•"/>
      <w:lvlJc w:val="left"/>
      <w:pPr>
        <w:ind w:left="9384" w:hanging="360"/>
      </w:pPr>
      <w:rPr>
        <w:rFonts w:hint="default"/>
      </w:rPr>
    </w:lvl>
  </w:abstractNum>
  <w:abstractNum w:abstractNumId="2" w15:restartNumberingAfterBreak="0">
    <w:nsid w:val="46D362E6"/>
    <w:multiLevelType w:val="hybridMultilevel"/>
    <w:tmpl w:val="9A4278BE"/>
    <w:lvl w:ilvl="0" w:tplc="9FD43114">
      <w:numFmt w:val="bullet"/>
      <w:lvlText w:val=""/>
      <w:lvlJc w:val="left"/>
      <w:pPr>
        <w:ind w:left="10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F63F86">
      <w:numFmt w:val="bullet"/>
      <w:lvlText w:val="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35427AE">
      <w:numFmt w:val="bullet"/>
      <w:lvlText w:val="•"/>
      <w:lvlJc w:val="left"/>
      <w:pPr>
        <w:ind w:left="2011" w:hanging="360"/>
      </w:pPr>
      <w:rPr>
        <w:rFonts w:hint="default"/>
      </w:rPr>
    </w:lvl>
    <w:lvl w:ilvl="3" w:tplc="825C9A7E"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0DE0CFA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4AAC077A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49F80F7E">
      <w:numFmt w:val="bullet"/>
      <w:lvlText w:val="•"/>
      <w:lvlJc w:val="left"/>
      <w:pPr>
        <w:ind w:left="5579" w:hanging="360"/>
      </w:pPr>
      <w:rPr>
        <w:rFonts w:hint="default"/>
      </w:rPr>
    </w:lvl>
    <w:lvl w:ilvl="7" w:tplc="A6B88602"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93F24B2A">
      <w:numFmt w:val="bullet"/>
      <w:lvlText w:val="•"/>
      <w:lvlJc w:val="left"/>
      <w:pPr>
        <w:ind w:left="7362" w:hanging="360"/>
      </w:pPr>
      <w:rPr>
        <w:rFonts w:hint="default"/>
      </w:rPr>
    </w:lvl>
  </w:abstractNum>
  <w:num w:numId="1" w16cid:durableId="1587962519">
    <w:abstractNumId w:val="2"/>
  </w:num>
  <w:num w:numId="2" w16cid:durableId="820734729">
    <w:abstractNumId w:val="0"/>
  </w:num>
  <w:num w:numId="3" w16cid:durableId="196838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D5F"/>
    <w:rsid w:val="00046D5F"/>
    <w:rsid w:val="00375ECA"/>
    <w:rsid w:val="005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D106"/>
  <w15:docId w15:val="{64718B5E-AC2C-4224-AEE8-59E05790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30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3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zgor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up@wup.z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0164-5257-4F78-AEAF-CEA29E35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8578</Characters>
  <Application>Microsoft Office Word</Application>
  <DocSecurity>0</DocSecurity>
  <Lines>71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Fedorowicz</dc:creator>
  <cp:lastModifiedBy>Admin</cp:lastModifiedBy>
  <cp:revision>2</cp:revision>
  <dcterms:created xsi:type="dcterms:W3CDTF">2025-11-04T12:04:00Z</dcterms:created>
  <dcterms:modified xsi:type="dcterms:W3CDTF">2025-11-04T11:05:00Z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</Properties>
</file>